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и применении последствий недействительности совершенных между должником и Балбышевой О.В. сделок, а именно: приказов № 278-л/с от 04.09.2017, № 325-л/с от 06.10.2017, № 443-л/с от 22.12.2017; применении последствий недействительности сделок. Определением Арбитражного суда города Москвы от 04.09.2020, оставленным без изменения постановлениями Девятого арбитражного апелляционного суда от 01.12.2020 и Арбитражного суда Московского округа от 30.04.2021, заявление удовлетворено частично, применены последствия недействительности вышеуказанных сделок в виде взыскания с Балбышевой О.В. в пользу должника денежных средств в размере 798 729 рублей.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1 статьи 61.2 Федерального закона от 26.10.2002 № 127-ФЗ «О несостоятельности (банкротстве)», установив обстоятельства выплат заявителю в пределах годичного срока до назначения в банке временной администрации дополнительного вознаграждения в условиях неустойчивого финансового положения банка при недоказанности выполнения им работ, превышающих стандартные повседневные должностные обязанности, признали недействительными оспариваемые сделки в связи с неравноценностью встречного предоставления,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Балбышевой Ольге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