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23.09.2020, оставленным без изменения постановлением Восемнадцатого арбитражного апелляционного суда от 16.12.2020, иск удовлетворен. Арбитражный суд Уральского округа постановлением от 19.04.2021 решение от 23.09.2020 и постановление Восемнадцатого арбитражного апелляционного суда от 16.12.2020 оставил без изменения. В кассационной жалобе общество «ФаворитТрансСервис» просит об отмене судебных актов, ссылаясь на неосновательность вывода о дате заключения договора, на отсутствие оснований для начисления штрафа, 2 недостоверные доказательства направления заявок на предоставление вагонов и необоснованный отказ в удовлетворении ходатайства о снижении размера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за сверхнормативное использование вагонов и нарушение ответчиком обязательства, за которые она применяется, поэтому удовлетворили иск в соответствии с договором от 03.12.2018 № 14ТЭ/2018-12 и статьями 330, 779 Гражданского кодекса Российской Федерации. Наличие критериев для уменьшения в силу статьи 333 Гражданского кодекса Российской Федерации неустойки не установлено. Отличная от судебной оценка заявителем обстоятельств заключения и исполнения договора, представленных доказательств, обстоятельств, влияющих на размер неустойки,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«ФаворитТрансСервис»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