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Погодаев Константин Викторович обратился в суд с заявлением о признании недействительным соглашения о зачёте встречных требований от 30.09.2015 (далее – соглашение), подписанного должником и Сунь Фуцин; применении последствий недействительности сделки. Определением Арбитражного суда Республики Бурятия от 21.12.2020, оставленным без изменения постановлениями Четвёртого арбитражного апелляционного суда от 16.02.2021 и Арбитражного суда Восточно-Сибирского округа от 13.05.2021, соглашение признано незаключённым, распределены судебные расходы по уплате государственной пошлины.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руководствуясь статьями 153, 154, 309, 410, 412, 421, 422, 532 Гражданского кодекса Российской Федерации, статьями 61.1 – 61.3 Федерального закона от 26.10.2002 № 127-ФЗ «О несостоятельности (банкротстве)», пришли к верному выводу о незаключённости оспариваемой сделки по мотивам отсутствия у сторон встречных однородных требований.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Сунь Фуцин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