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Свешников Роман Алексеевич обратился в суд с заявлением о взыскании с общества как заявителя по делу 432 000 рублей вознаграждения конкурсного управляющего и 12 296 рублей 83 копеек расходов, понесённых в процедуре банкротства. Определением Арбитражного суда Вологодской области от 22.09.2020, оставленным без изменения постановлениями Четырнадцатого арбитражного апелляционного суда от 18.01.2021 и Арбитражного суда Северо-Западного округа от 26.04.2021,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20.6, 59, 60 Федерального закона от 26.10.2002 № 127-ФЗ «О несостоятельности (банкротстве)», исходили из того, что ненадлежащего исполнения своих обязанностей и существенного нарушения требований законодательства о банкротстве конкурсным управляющим допущено не было; последний вправе претендовать на причитающееся ему вознаграждение и компенсацию фактически понесённых расходов, не полученные им ввиду отсутствия у должника достаточных для погашения денежных средств, в связи с чем удовлетворили заявление.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«УралНефтеГазСтрой» Козлову Игорю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