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должником ФИО2 (далее – конкурсный управляющий должником) обратился в суд с заявлением о привлечении ФИО1 как контролирующего лица должника к субсидиарной ответственности по обязательствам должника. Определением Арбитражного суда города Москвы от 24.10.2016 требования конкурсного управляющего должником удовлетворены в сумме 12 023 575 рублей 41 копейки. Определением Девятого арбитражного апелляционного суда от 26.06.2017 отказано ФИО1 в удовлетворении ходатайства о восстановлении срока на подачу апелляционной жалобы на определение суда первой инстанции от 24.10.2016, производство по апелляционной жалобе прекращено. Постановлением Арбитражного суда Московского округа от 28.11.2017 оставлено без изменения определение суда первой инстанции от 24.10.2016. В кассационной жалобе, поданной в Верховный Суд Российской Федерации, ФИО1 просит отменить определение суда первой инстанции, дело направить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с представленным к ней дополнением не установлено. Удовлетворяя требования конкурсного управляющего должником,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401 , 1064 Гражданского кодекса Российской Федерации, статей 10, 61.2, 61.3, 64, 126 Федерального закона от 26.10.2002 № 127-ФЗ «О несостоятельности (банкротстве)», статей 6, 17 Федерального закона от 06.12.2011 № 402-ФЗ «О бухгалтерском учете», установив факт ненадлежащего исполнения ФИО1, находившимся в должности директора на момент введения в отношении должника конкурсного производства, своих обязанностей по передаче конкурному управляющему должником бухгалтерской и иной документации, а также иные факты нарушения ФИО1 ведения бухгалтерского учета, обоснованно установил причинно-следственную связь между ненадлежащими действиями ФИО1 и невозможностью формирования конкурсной массы должника, правомерно снизив размер ответственности ФИО1 Суд округа поддержал указанные выводы суда первой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В дальнейшем в случае поступления в конкурсную массу денежных средств от реализации имущества (что влияет на размер субсидиарной ответственности) ФИО1 не лишён права обратиться в суд первой инстанции с заявлением по правилам главы 37 Арбитражного процессуального кодекса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Ассоциации "КМ СРО АУ "Единство" (подробнее) НП "Союз менеджеров и антикризисных управляющих" (подробнее) ООО Кубанский бекон (подробнее) ООО "МонтажСтрой" (подробнее) ООО "Полифлор" (подробнее) ООО "Элариус" (подробнее) Управление Федеральной службы государственной регистрации, кадастра и картографии(Росреестр) по г. Москве. (подробнее)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