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08.12.2020 иск удовлетворен частично. Постановлением Девятого арбитражного апелляционного суда от 15.03.2021, оставленным без изменения постановлением Арбитражного суда Московского округа от 07.06.2021, решение отменено, исковые требования удовлетворены в полном объеме. В кассационной жалобе общество просит о пересмотре судебных актов апелляционного и окружного судов, ссылаясь на отсутствие доказательств оказания услуг на взысканную сумму.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Руководствуясь статьями 309, 310, 785, 1102 Гражданского кодекса Российской Федерации, суды удовлетворили иск, установив надлежащее оказание предпринимателем услуг по договору от 27.02.2019 № П27/2.19 и неоплату их обществом. Приведенные в рассматриваемой жалобе доводы направлены на ревизию оценки доказательств и основанных на ней выводов, которая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«Мирастрой»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