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Погодаев Константин Викторович обратился в суд с заявлением о признании недействительным соглашения о зачёте встречных требований от 26.05.2014 (далее – соглашение), подписанного должником и Сунь Фуцин; применении последствий недействительности сделки. Определением Арбитражного суда Республики Бурятия от 24.08.2020, оставленным без изменения постановлениями Четвёртого арбитражного апелляционного суда от 17.02.2021 и Арбитражного суда Восточно-Сибирского округа от 13.05.2021, соглашение признано незаключённым, распределены судебные расходы по уплате государственной пошлины.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153, 154, 309, 410, 412, 421, 422, 532 Гражданского кодекса Российской Федерации, статьями 61.1 – 61.3 Федерального закона от 26.10.2002 № 127-ФЗ «О несостоятельности (банкротстве)», пришли к верному выводу о незаключённости оспариваемой сделки по мотивам отсутствия у сторон встречных однородных требований.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Сунь Фуцин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