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города Москвы определением от 22.12.2020 признал требование кредитора в размере 17 010 698 рублей 09 копеек подлежащим удовлетворению перед распределением ликвидационной квоты. Девятый арбитражный апелляционный суд постановлением от 02.04.2021 определение от 22.12.2020 отменил и включил требование компании Uab Landmark Capital в размере 17 010 698 рублей 09 копеек в третью очередь реестра требований кредиторов. Арбитражный суд Московского округа постановлением от 09.06.2021 постановление Девятого арбитражного апелляционного суда от 02.04.2021 оставил без изменения. В кассационной жалобе ФИО1 просит об отмене судебных актов апелляционного и окружного судов и оставлении в силе определения суда первой инстанции, ссылаясь на аффилированность сторон сделки, являющейся основанием задолженности.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 правомерно указал на неприменимость к рассматриваемым правоотношениям с участием физического лица корпоративных подходов, на которых основаны доводы финансового управляющего. Доводы жалобы не подтверждают нарушений норм права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UAB "LANDMARK CAPITAL" (подробнее) ЗАО LANDMARK CAPITAL (подробнее) ИФНС России №5 по г. Москве (подробнее) МИНЮСТ РОССИИ (подробнее) ПАО Банк ВТБ (подробнее) ПАО "Сбербанк России" (подробнее) Иные лица: Ассоциация Еросибирская саморегулируемая организация арбитражных управляющих (подробнее) Балашихинское управление ЗАГС (подробнее) ГУ ОПФ РФ по г. Москве и Московской области (подробнее) ГУ УВМ МВД России по г. Москве (подробнее) Кулиев Фарахим Муталлим оглы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