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12.08.2020, оставленным без изменения постановлением Одиннадцатого арбитражного апелляционного суда от 19.01.2021, иск удовлетворен частично, с общества в пользу учреждения взыскано 855 433,06 рублей штрафных санкций, в удовлетворении остальной части иска отказано. Постановлением Арбитражного суда Поволжского округа от 19.04.2021 указанные судебные акты оставлены без изменения. Общество просит отменить обжалуемые судебные акты,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3 Оценив представленные доказательства, руководствуясь положениями статей 309, 310, 330, 431, 779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в обжалуемой части, установив нарушение обществом обязательств по контракту, и признав обоснованным начисление штрафных санкций в спорном размере. Доводы жалобы повторяют позицию общества по делу, являлись предметом рассмотрения судов и получили исчерпывающую правовую оценку исходя из установленных обстоятельств и представленных сторонами доказательств, не согласиться с которой оснований не имеется. Ссылка в жалобе на то, что истец в полном объеме получил компенсацию за нарушение ответчиком условий контракта по банковской гарантии, со ссылкой на судебные акты по иным делам, не могут служить основанием для отмены судебных актов по настоящему делу, поскольку из кассационной жалобы не следует, что указанные доводы приводились обществом в суде первой инстанции, но им не была дана оценка. Соответственно, у суда округа не имелось оснований для направления дела на новое рассмотрение. При этом в силу статей 9, 65 Арбитражного процессуального кодекса Российской Федерации каждое лицо, участвующее в деле, уже в суде первой инстанции должно доказать обстоятельства, на которые ссылается в обоснование своих требований и возражений, и несет риск непредставления доказательств своевременно. При таких обстоятельствах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