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(после отмены по новым обстоятельствам определения Арбитражного суда Новосибирской области от 18.04.2019 по заявлению общества) судом подлежало проверке на предмет обоснованности заявление общества о включении в реестр требований кредиторов должника (далее – реестр) его требования в размере 161 279 рублей 22 копейки. Определением Арбитражного суда Новосибирской области от 27.11.2020, оставленным без изменения постановлениями Седьмого арбитражного апелляционного суда от 23.02.2021 и Арбитражного суда Западно-Сибирского округа от 31.05.2021, в удовлетворении заявления отказано. В кассационной жалобе, поданной в Верховный Суд Российской Федерации, заявитель просит передать её на рассмотрение в судебном заседании Судебной коллегии по экономическим спорам Верховного Суда Российской Федерации, отменить обжалуемые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того, что требование общества и сам факт оказания им должнику транспортных услуг не подтверждены документально,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 – Новосибирск»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