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Козлов А.В. обратился в суд с заявлением о взыскании с должника денежной компенсации морального вреда в размере 2 000 000 рублей. Определением Арбитражного суда города Москвы от 23.12.2020, оставленным без изменения постановлениями Девятого арбитражного апелляционного суда от 02.03.2021 и Арбитражного суда Московского округа от 18.06.2021,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заявленных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16, 71, 100, 129 Федерального закона от 26.10.2002 № 127-ФЗ «О несостоятельности (банкротстве)», исходили из того, что исполнение конкурсным управляющим своих обязанностей по раскрытию сведений о кредиторе физическом лице не может быть поставлено ему в вину, а оснований для удовлетворения поданного заявления не имелось, поскольку законодательством о банкротстве не предусмотрена возможность рассмотрения судом заявлений о взыскании денежной компенсации за причинённый моральный вред, а решения суда общей юрисдикции о таком взыскании в пользу заявителя представлено не было.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Козлову Алексею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