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пересмотре по вновь открывшимся обстоятельствам определения Арбитражного суда Амурской области от 14.08.2017 о включении в реестр требований кредиторов должника требований общества с ограниченной ответственностью «Амурский Леспромхоз» (далее – общество). Определением Арбитражного суда Амурской области от 04.02.2021, оставленным без изменения постановлениями Шестого арбитражного апелляционного суда от 01.04.2021 и Арбитражного суда Дальневосточного округа от 20.05.2021,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Амурской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309 – 311 Арбитражного процессуального кодекса Российской Федерации, пунктами 3, 4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не установили оснований для пересмотра ранее принятого по настоящему делу о банкротстве судебного акта, поскольку включенные в реестр требования общества основаны на иных, нежели признанных недействительными, сделках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Савельеву Николаю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