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задолженности в размере 912 181 рубль 78 копеек. Определением Арбитражного суда Краснодарского края от 16.11.2020, оставленным без изменения постановлениями Пятнадцатого арбитражного апелляционного суда от 13.02.2021 и Арбитражного суда Северо-Кавказского округа от 28.04.2021, в удовлетворении заявления отказано. В кассационной жалобе, поданной в Верховный Суд Российской Федерации, заявитель просит полностью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19,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пришли к правильным выводам об отсутствии оснований для удовлетворения заявления и включения требования общества в реестр.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«Абрис-Инвест»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