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«Партнер» (далее – конкурсный кредитор) обратилось в суд с заявлением о признании недействительной сделки по перечислению должником в пользу общества денежных средств в общем размере 622 903 рубля 18 копеек, применении последствий недействительности сделки. Определением Арбитражного суда Московской области от 25.08.2020, оставленным без изменения постановлениями Десятого арбитражного апелляционного суда от 30.12.2020 и Арбитражного суда Московского округа от 26.04.2021,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установили наличие оснований для признания недействительными оспариваемых платежей, осуществлённых в пользу общества как заинтересованного лица в отсутствие какого-либо встречного предоставления, что предполагало причинение вреда имущественным правам кредиторов в результате безвозмездного вывода должником активов (денежных средств).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кассационной жалобы по существу направлены на переоценку представленных доказательств, что не свидетельствует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юридических услуг и финансово-экономической безопасности»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