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Медведев Михаил Николаевич обратился в суд с заявлением о намерении погасить требования кредиторов к должнику в полном объёме. Определением Арбитражного суда Самарской области 22.03.2021, оставленным без изменения постановлением Одиннадцатого арбитражного апелляционного суда от 27.04.2021, заявление удовлетворено. В кассационных жалобах, поданных в Верховный Суд Российской Федерации, заявители просят отменить названные судебные акты и направить дело на новое рассмотрение в Арбитражный суд Самарской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кассационных жалоб таких оснований не установлено. Разрешая спор, суды руководствовались статьями 2, 57, 71.1, 113, 125, 129.1 Федерального закона от 26.10.2002 № 127-ФЗ «О несостоятельности (банкротстве)» и исходили из наличия оснований для удовлетворения заявления о намерении погасить все требования кредиторов, поданного раньше остальных заявлений не отказавшимся от него на момент рассмотрения лицом, что отвечало целям и задачам процедуры конкурсного производства. Выводы судов соответствуют нормам права, оснований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Венедиктовой Ирине Александровне, Пахомову Игорю Геннадьевичу и Давыдову Константину Анатольевичу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