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16.08.2021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Первоначальное обращение с кассационной жалобой в отсутствие надлежащим образом оформленной доверенности представителя само по себе не может свидетельствовать об уважительности пропуска срока на подачу кассационной жалобы. Заявителем не представлено доказательств того, что им были предприняты все меры для своевременного обращения с кассационной жалобой, а установленный срок был пропущен по причине, объективно и реально препятствовавшей совершению юридически значимых действий в установленный срок.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«МСБ-Инжиниринг» о восстановлении пропущенного срока отказать, кассационную жалобу возвратить заявителю. Судья Верховного Суда А.Г. Першутов Российской Федерации Суд: Верховный Суд РФ (подробнее) Истцы: ООО "МСБ-ИНЖИНИРИНГ" (подробнее) Ответчики: Департамент строительства города Москвы (подробнее) Иные лица: ООО "Экспертиза.Проектные решения"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