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текста определения на второй странице в последнем абзаце допущена опечатка в наименовании заявителя кассационной жалобы. Согласно части 3 статьи 179 Арбитражного процессуального кодекса Российской Федерации арбитражный суд, принявший решение, по заявлению лица, участвующего в деле, или по собственной инициативе вправе исправить допущенные в решении описки, опечатки и арифметические ошибки без изменения его содержания. Указанная опечатка является технической, ее исправление не влияет на содержание судебного акта, поэтому она подлежит исправлению в соответствии с частью 3 статьи 179 Арбитражного процессуального кодекса Российской Федерации. Руководствуясь статьями 179 ,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внести исправление на второй странице в последнем абзаце определения Верховного Суда Российской Федерации от 02.08.2021 № 306-ЭС21-11885, указав наименование заявителя - государственное учреждение здравоохранения «Саратовская городская клиническая больница № 8». Судья Верховного Суда Российской Федерации А.Г. Першутов Суд: Верховный Суд РФ (подробнее) Истцы: ГУЗ Саратовская городская клиническая больница №8 (подробнее) Ответчики: ТФОМС Саратовской области (подробнее) Иные лица: Арбитражный суд Поволжского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