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14.09.2020, оставленным без изменения постановлениями Шестнадцатого арбитражного апелляционного 2 суда от 16.12.2020 и Арбитражного суда Северо-Кавказского округа от 28.04.2021, в удовлетворении иска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предприниматель, получивший право требования страхового возмещения в соответствии с Федеральным законом от 25.04.2002 № 40-ФЗ «Об обязательном страховании гражданской ответственности владельцев транспортных средств» (далее – Закон об ОСАГО) по договору цессии, заключенному с потерпевшим, обратился в арбитражный суд, указав на наступление страхового случая (повреждение автомобиля в результате ДТП) и невыплату обществом (страховщик гражданской ответственности виновника ДТП) возмещения, размер которого определен экспертным заключением. Оценив представленные в материалы дела доказательства, суды, руководствуясь положениями пункта 1 статьи 929 Гражданского кодекса Российской Федерации, пунктов 10, 11 и 13 статьи 12 Закона об ОСАГО, пришли к выводу об отсутствии оснований для удовлетворения иска. Судебные инстанции исходили из несоблюдения правопредшественником предпринимателя (потерпевшим) порядка взаимодействия со страховой компанией (обществом). При исследовании обстоятельств дела установлено отсутствие у потерпевшего права на получение страхового возмещения, поскольку им не была исполнена предусмотренная статьей 12 Закона об ОСАГО обязанность по предоставлению страховщику поврежденного имущества или его остатков для 3 проведения осмотра и (или) организации независимой экспертизы в целях выяснения обстоятельств причинения вреда и определения размера подлежащих возмещению убытков; не имелось оснований для самостоятельного проведения независимой экспертизы. Доводы предпринимателя о нарушении правил подсудности являлись предметом рассмотрения судов и получили надлежащую правовую оценку, не подтверждают наличие существенных нарушений норм материального права и (или) норм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Расулову Ахмаду Магомедрасуловичу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