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16.11.2020 заявленное требование удовлетворено частично, признано недействительным решение налогового органа в части доначисления налога на прибыль, в удовлетворении остальной части требований отказано. 2 Дополнительным решением того же суда от 04.12.2020 признано недействительным решение налогового органа в части начисления пени и штрафа на сумму недоимки по налогу на прибыль организаций за 2015 и 2016 годы. Постановлением Восьмого арбитражного апелляционного суда от 19.02.2021 решение суда первой инстанции в части признания недействительным оспариваемого решения о доначислении налога на прибыль, соответствующих сумм пени и штрафа отменено, в удовлетворении заявленного требования в указанной части отказано. Постановлением Арбитражного суда Западно-Сибирского округа от 28.05.2021 постановление апелляционного суда оставлено без изменения. Общество просит отменить обжалуемые судебные акты,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статей 146, 169, 171, 172, 246, 247, 252 Налогового кодекса Российской Федерации, с учетом разъяснений Пленума Высшего Арбитражного Суда Российской Федерации, изложенных в 3 постановлении от 12.10.2006 № 53 «Об оценке арбитражными судами обоснованности получения налогоплательщиком налоговой выгоды», апелляционный суд отменил судебные акты суда первой инстанции в части признания недействительным решения налогового органа о доначислении налога на прибыль (пени, штрафа), отказал в удовлетворении заявленного требования в указанной части, признав, что обществом необоснованно включены затраты по спорным сделкам в состав расходов, уменьшающих налогооблагаемую базу по налогу на прибыль, заявитель документально не подтвердил понесенные расходы. Суд округа согласился с выводами апелляционного суда, указав, что реально осуществленные и документально подтвержденные налогоплательщиком расходы были учтены налоговым органом. Приведенные в жалобе доводы о реальности финансово-хозяйственных операций, правомерности несения обществом заявленных расходов, недоказанности совершения сделок в целях получения необоснованной налоговой выгоды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