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18.06.2020, оставленным без изменения постановлением Четвертого арбитражного апелляционного суда от 23.12.2020, в удовлетворении требования отказано. 2 Постановлением Арбитражного суда Восточно-Сибирского округа от 22.04.2021 указанные судебные акты оставлены без изменения. Общество просит обжалуемые судебные акты отменить, ссылаясь на допущенные, по его мнению, существенные нарушения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выявленные факты, свидетельствующие о нарушении обществом требований технических регламентов, проектной документации, обязательных требований документов в области стандартизации при строительстве объектов капитального строительства многоквартирных домов. Оценив представленные доказательства, руководствуясь положениями статей 46, 48, 52, 58 Градостроительного кодекса Российской Федерации, Федерального закона от 30.12.2009 № 384-ФЗ «Технический регламент о безопасности зданий и сооружений», статьи 23.56 Кодекса Российской Федерации об административных правонарушениях, суды пришли к выводу о 3 наличии в действиях общества состава административного правонарушения, предусмотренного частью 1 статьи 9.4 Кодекса Российской Федерации об административных правонарушениях. Судами проверены процедура и срок давности привлечения к административной ответственности, наказание в виде штрафа назначено в пределах санкций норм. Доводы жалобы были предметом исследования судов и получили исчерпывающую правовую оценку, не согласиться с которой, исходя из доводов жалобы, оснований не имеется. Невменение административным органом обществу установленного квалифицирующего признака (угроза причинения вреда жизни и здоровью) не свидетельствует об отсутствии состава правонарушения по части 1 статьи 9.4 Кодекса Российской Федерации об административных правонарушениях. При этом исходя из принципа недопустимости ухудшения положения лица, привлеченного к ответственности, суд не вправе назначить наказание более строгое по сравнению с наказанием, назначенным постановлением административного органа.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