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02.09.2020, оставленным без изменения постановлениями Шестнадцатого арбитражного апелляционного суда от 16.12.2020 и Арбитражного суда Северо-Кавказского округа от 22.04.2021, в удовлетворении иска отказано. 2 В кассационной жалобе, поданной в Верховный Суд Российской Федерации, предприниматель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предприниматель, получивший право требования страхового возмещения в соответствии с Федеральным законом от 25.04.2002 № 40-ФЗ «Об обязательном страховании гражданской ответственности владельцев транспортных средств» (далее – Закон об ОСАГО) по договору цессии, заключенному с потерпевшим, обратился в арбитражный суд, указав на наступление страхового случая (повреждение автомобиля в результате ДТП) и невыплату обществом (страховщик гражданской ответственности виновника ДТП) возмещения, размер которого определен экспертным заключением. Оценив представленные в материалы дела доказательства, суды, руководствуясь положениями статей 15, 307, 309, 310, пункта 1 статьи 929, пункта 4 статьи 931, статьи 1064 Гражданского кодекса Российской Федерации, статей 7, 12, 14 Закона об ОСАГО, пришли к выводу об отсутствии оснований для удовлетворения иска. Судебные инстанции исходили из несоблюдения правопредшественником предпринимателя (потерпевшим) порядка взаимодействия со страховой компанией (обществом). При исследовании обстоятельств дела установлено отсутствие у потерпевшего права на получение страхового возмещения, поскольку им не была исполнена предусмотренная статьей 12 Закона об ОСАГО обязанность по предоставлению страховщику поврежденного имущества или его остатков для проведения осмотра и (или) организации независимой экспертизы в целях выяснения обстоятельств причинения вреда и определения размера подлежащих возмещению убытков; не имелось оснований для непредставления поврежденного транспортного средства по месту нахождения страховщика; не подтвержден факт уклонения страховщика от организации осмотра и (или) экспертизы поврежденного автомобиля. 3 Доводы предпринимателя о том, что техническое состояние поврежденного автомобиля исключало возможность его движения на автодороге, являлись предметом рассмотрения судов и получили надлежащую правовую оценку, не подтверждают наличие существенных нарушений норм материального права и (или) норм процессуального права, повлиявших на исход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Расулову Ахмаду Магомедрасуловичу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