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29.09.2020, оставленным без изменения постановлением Первого арбитражного апелляционного суда от 24.12.2020, требования удовлетворены. Постановлением Арбитражного суда Волго-Вятского округа от 11.05.2021 указанные судебные акты оставлены без изменения. 2 Общество просит отменить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удовлетворили требования, установив, что применение в отношении застрахованных лиц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заявителем правом в целях предоставления своим сотрудникам дополнительного материального обеспечения, возмещаемого за счет средств фонда, в связи с чем признали спорные пособия излишне перечисленными. 3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