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17.09.2020, оставленным без изменения постановлением Семнадцатого арбитражного апелляционного суда от 28.12.2020 и постановлением Арбитражного суда Уральского округа от 16.04.2021, исковое заявление удовлетворено частично, с 2 учреждения в пользу общества взысканы 663 250 рублей ущерба, 12 740 рублей расходов на проведение экспертизы и на дефектовку, а также 36 619 рублей 80 копеек судебных расходов, в том числе 21 000 рублей расходов на оплату услуг представителя и 15 619 рублей 80 копеек расходов по уплате государственной пошлины, понесенных обществом при подаче иска. В удовлетворении остальной части исковых требований отказано. В кассационных жалобах, поданных в Верховный Суд Российской Федерации, администрация и учреждение, ссылаясь на существенное нарушение судами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установлено судами, 10.04.2019 произошло дорожно-транспортное происшествие, транспортное средство AUDI A7, государственный регистрационный номер Е907ОУ/777 под управлением водителя Скорохода А.З. при движении совершило наезд на выбоину, в результате чего транспортному средству причинены механические повреждения. В соответствии с актом от 10.04.2019 о выявленных недостатках в содержании дорог, дорожных сооружений и технических средств организации дорожного движения, составленным инспектором ДПС ОГИБДД МО МВД «Можгинский», на данном участке дороги выявлены дефекты на проезжей части в виде выбоины, при этом участок дороги не был обозначен временными дорожными знаками и ограждающими устройствами. Определением от 10.04.2019 об отказе в возбуждении дела об административном правонарушении установлено, что в результате дорожно-транспортного происшествия транспортное средство получило механические повреждения, водитель нарушил пункт 10.1 Правил дорожного движения. Согласно отчету от 31.10.2019 № 48/05-А-19, представленному обществом с ограниченной ответственностью «Экспертно-правовое агентство «Восточное», стоимость восстановительного ремонта спорного автомобиля составила 948 100 рублей, стоимость услуг по изготовлению отчета - 17 000 рублей, стоимость услуг по дефектовке транспортного средства - 1200 рублей. 3 Полагая, что повреждение транспортного средства произошло по вине ответчиков, не обеспечивших надлежащее исполнение обязанностей по содержанию участка автомобильной дороги, на котором произошло дорожно-транспортное происшествие, общество на основании договора уступки права требования (цессии) № 2 обратилось в арбитражный суд. Исследовав и оценив представленные в материалы дела доказательства, суд первой инстанции, руководствуясь положениями Гражданского кодекса Российской Федерации,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закона от 06.10.2003 № 131-ФЗ «Об общих принципах организации местного самоуправления в Российской Федерации», Федерального закона от 10.12.1995 № 196 «О безопасности дорожного движения», учитывая разъяснения, изложенные в пункте 12 постановления Пленума Верховного Суда Российской Федерации от 23.06.2015 № 25 «О применении судами некоторых положений разд. I части первой Гражданского кодекса Российской Федерации», а также принимая во внимание результаты проведенной по делу судебной экспертизы, пришел к выводу о наличии оснований для взыскания с ответчика 663 250 рублей ущерба, 12 740 рублей расходов на проведение экспертизы и на дефектовку, а также 36 619 рублей 80 копеек судебных расходов, с чем согласились суды апелляционной инстанции и округа. Судебные инстанции исходили из того, что состояние дорожного покрытия на участке дороги, где произошло дорожно-транспортное происшествие не соответствовало требованиям ГОСТ Р 50597-2017 и общим требованиям обеспечения безопасности дорожного движения. Обязанность по содержанию дорожного покрытия в надлежащем виде возложена на орган местного самоуправления, наделенный соответствующими полномочиями по реконструкции и ремонту объектов бюджетной сферы - учреждение. Суды также отметили, что ответчиками не представлено доказательств наличия на месте дорожно-транспортного происшествия дорожных знаков, информирующих водителей об имеющемся недостатке дороги и объезде препятствия на данном участке дороги, указав, что размер причиненного ущерба подтверждается результатами проведенной по делу судебной экспертизы, при расчете учитывалась степень вины потерпевшего в дорожно- транспортном событии. Доводы администрации и учреждения, изложенные в кассационных жалобах,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4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Можга» и муниципальному бюджетному учреждению «Управление заказчика» города Можги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