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23.07.2019, оставленным без изменения постановлением Четырнадцатого арбитражного апелляционного суда от 08.11.2019, заявленные требования удовлетворены 2 частично, снижен размер штрафа, в остальной части в удовлетворении требований отказано. Постановлением Арбитражного суда Северо-Западного округа от 19.02.2020 решение суда первой инстанции и постановление апелляционного суда отменены в части отказа в удовлетворении заявленных требований по эпизоду начисления 94 491 006 рублей налога на прибыль организаций, 41 293 856,52 рублей пеней, привлечения к ответственности по пункту 1 статьи 122 Налогового кодекса Российской Федерации в виде 4 724 550,5 рублей штрафа, уменьшения убытка за 2014 год на 4 106 068 рублей, в указанной части дело направлено на новое рассмотрение в суд первой инстанции, в остальной части судебные акты оставлены без изменения. При новом рассмотрении дела решением Арбитражного суда Тверской области от 24.07.2020, оставленным без изменения постановлением Четырнадцатого арбитражного апелляционного суда от 13.01.2021, заявленные требования по отмененному эпизоду удовлетворены. Постановлением Арбитражного суда Северо-Западного округа от 21.04.2021 решение суда первой инстанции от 24.07.2020 и постановление апелляционного суда от 13.01.2021 оставлены без изменения. Налоговый орган обратился в Верховный Суд Российской Федерации с кассационной жалобой на принятые при новом рассмотрении дела судебные акты, ссылаясь на допущенные, по его мнению, существенные нарушения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3 экономической деятельности, а также защита охраняемых законом публичных интересов. Исходя из доводов жалобы основания для ее удовлетворения отсутствуют. Оценив представленные доказательства, руководствуясь положениями статей 252, 280, 329 Налогового кодекса Российской Федерации, правовой позицией,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удовлетворили требования по спорному эпизоду, признав, что налоговым органом не доказан факт и размер занижения налогооблагаемой базы по налогу на прибыль. Приведенные в жалобе доводы были предметом изучения судов и отклонены с учетом оснований для вынесения решения, не опровергнутых налоговым органом доводов общества об отсутствии превышения предельно допустимого отклонения цен акций, а также определенного реального размера налоговых обязательств налогоплательщика.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