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обратилась в суд с заявлением о признании недействительной сделкой действий правопреемника должника – общества с ограниченной ответственностью «ЭКСПЕРТНЫЙ РЕМОНТНОСТРОИТЕЛЬНЫЙ ЦЕНТР» по перечислению денежных средств в размере 115 166 рублей 90 копеек платежными поручениями № 403 и № 404 от 01.04.2015, применении последствий недействительности сделки. Определением Арбитражного суда Брянской области от 17.08.2020, оставленным без изменения постановлениями Двадцатого арбитражного апелляционного суда от 20.01.2021 и Арбитражного суда Центрального округа от 03.06.2020,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Брянской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статьями 10, 166, 168 Гражданского кодекса Российской Федерации, статьёй 61.2 Федерального закона от 26.10.2002 № 127-ФЗ «О несостоятельности (банкротстве)» и исходили из недоказанности намерений сторон причинить вред имущественным правам кредиторов, осведомлённости получателя денежных средств о такой цели, а у оспариваемой сделки – пороков, выходящих за пределы специальных оснований.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Приводимые заявителем в кассационной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«Акварель» Зиновик Елене Константиновне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