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включении его требований в размере 47 702 638 рублей 51 копейка в реестр требований кредиторов должника (далее – реестр), как обеспеченных залогом имущества последнего. Впоследствии конкурсный управляющий должником Данилкина Елена Борисовна обратилась в суд с заявлением о признании недействительными сделками договора залога № 007-17ДНКЛ05/9 от 03.09.2018 и договора поручительства № 007-17ДНКЛ05-9 от 02.03.2017, заключенных между должником и банком. Вышеуказанные заявления объединены в одно производство для совместного рассмотрения. Определением Арбитражного суда Пензенской области от 05.11.2020, оставленным без изменения постановлениями Одиннадцатого арбитражного апелляционного суда от 26.01.2021 и Арбитражного суда Поволжского округа от 21.04.2021, заявление конкурсного управляющего удовлетворено, банку отказано во включении в третью очередь реестр его требования, в том числе в качестве обеспеченного залогом имущества должника. В кассационной жалобе, поданной в Верховный Суд Российской Федерации, заявитель просит отменить названные судебные акты, направить 2 обособленный спор на новое рассмотрение в Арбитражный суд Пензенской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пунктом 2 статьи 61.2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установленных фактических обстоятельств заинтересованности и взаимозависимости банка и должника, внутригруппового и корпоративного характера сложившихся между ними правоотношений (как заёмных, так и обеспечительных), недобросовестности поведения заявителя и злоупотреблении им своим правом, в связи с чем пришли к верным выводам об обоснованности заявления конкурсного управляющего и отсутствии оснований для удовлетворения требований банка.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«Кузнецкий»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публичного акционерного общества «Банк «Кузнецкий»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