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«Специальные продукты Ру» обратилось в суд с заявлением о включении в реестр требований кредиторов должника его требования в размере 33 486 031 рубль 80 копеек. Определением Арбитражного суда города Москвы от 23.10.2020, оставленным без изменения постановлениями Девятого арбитражного апелляционного суда от 24.12.2020 и Арбитражного суда Московского округа от 10.03.2021, заявление удовлетворено. Не согласившись с названным определением суда первой инстанции, заявитель обратился с апелляционной жалобой, одновременно заявив ходатайство о восстановлении пропущенного срока на её подачу. Определением Девятого арбитражного апелляционного суда от 12.04.2021, оставленным без изменения постановлением Арбитражного суда Московского округа от 25.05.2021, апелляционная жалоба возвращена заявителю на основании пункта 3 части 1 статьи 264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судебные акты, направить вопрос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заявителя и подтверждая законность такого возврата, суды апелляционной инстанции и округа руководствовались статьями 113, 117, 184, 259, 264 Арбитражного процессуального кодекса Российской Федерации, пунктом 30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пропуска заявителем процессуального срока на подачу апелляционной жалобы и отсутствия уважительных причин для его восстановления лицу, своевременно не реализовавшему своё право на предъявление требования к несостоятельному должнику.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Орлову Андрею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