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Топоров Сергей Владимирович (далее – кредитор) обратился в суд с заявлением о включении в реестр требований о передаче жилых помещений должника требования о передаче однокомнатной квартиры под условным номером 174 приведенной площадью 43,4 квадратного метра, расположенной на четвёртом этаже четвёртого подъезда многоквартирного жилого дома по адресу: Чувашская Республика, город Новочебоксарск, бульвар Зеленый, дом 3А, поз. 2 и котельная поз. 3, оплаченной в сумме 1 584 100 рублей. Определением Арбитражного суда Чувашской Республики – Чувашии от 24.11.2020, оставленным без изменения постановлениями Первого арбитражного апелляционного суда от 10.02.2021 и Арбитражного суда Волго-Вятского округа от 14.04.2021,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382, 384, 389 Гражданского кодекса Российской Федерации, статьями 201.1, 201.4, 201.7 Федерального закона от 26.10.2002 № 127-ФЗ «О несостоятельности (банкротстве)» и признали обоснованным заявление кредитора как добросовестного приобретателя права требования спорной квартиры у должника, не исполнившего своих обязательств по её передаче.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«Фирма Три АсС» Сапёрову Александру Клементьевичу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