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недействительным решения собрания кредиторов должника от 29.09.2020 по вопросу включения в повестку дня предложенных им дополнительных вопросов; обязании конкурсного управляющего должником Мамонтова Валерия Николаевича в течение 20 календарных дней со дня вступления в законную силу судебного акта по настоящему заявлению провести собрание кредиторов, в повестку дня которого включить вопросы, представленные кредитором на собрании кредиторов 29.09.2020. Определением Арбитражного суда Самарской области от 22.03.2021, оставленным без изменения постановлением Одиннадцатого арбитражного апелляционного суда от 30.04.2021,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инстанции руководствовались статьями 12, 15 Федерального закона от 26.10.2002 № 127-ФЗ «О несостоятельности (банкротстве)» и исходили из того, что собрание кредиторов проведено правомочно при наличии кворума, а сам кредитор, предложивший дополнительные вопросы повестки дня наряду с иными лицами реализовал своё право на участие в голосовании в соответствии с положениями законодательства о банкротстве на основании принятой от него заявки, в связи с чем в отсутствие доказательств причинения вреда должнику, заявителю и иным кредиторам действиями мажоритарного кредитора и конкурсного управляющего, отказали в удовлетворении заявленных требований. Выводы судов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«Сызраньводоканал»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