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требования в размере 338 793 759 рублей 41 копейка. Определением Арбитражного суда города Санкт-Петербурга и Ленинградской области от 11.08.2020 заявление удовлетворено. Постановлением Тринадцатого арбитражного апелляционного суда от 19.01.2021, оставленным без изменения постановлением Арбитражного суда Северо-Западного округа от 23.04.2021,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руководствовались статьями 363, 807 Гражданского кодекса Российской Федерации, статьями 19, 71, 100 Федерального закона от 26.10.2002 № 127-ФЗ «О несостоятельности (банкротстве)», Обзором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утверждённым Президиумом Верховного Суда РФ 29.01.2020 и пришли к правильным выводам об отсутствии оснований для включения заявленного обществом требования в реестр, носящего корпоративный характер и не способного конкурировать с требованиями иных независимых кредиторов.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«Нева-Лизинг»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