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Перл Сергей Леонидович (далее – правопреемник) обратился в суд с заявлением о правопреемстве кредитора – закрытого акционерного общества «Богучанский Алюминевый Завод» на себя в связи с заключением договора уступки права требования №508С001F072 от 03.11.2020. Определением Арбитражного суда Московской области от 28.12.2020, оставленным без изменения постановлениями Десятого арбитражного апелляционного суда от 30.03.2021 и Арбитражного суда Московского округа от 15.06.2021,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статьёй 48 Арбитражного процессуального кодекса Российской Федерации, статьями, 382, 384, 388 Гражданского кодекса Российской Федерации, исходили из действительности договора цессии, а также переданных по нему прав требований к должнику, что повлекло правопреемство в материальном правоотношении, и послужило основанием для осуществления процессуальной замены кредитора на его правопреемника. Выводы судов соответствуют нормам права, оснований их переоценки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о заинтересованности правопреемника и должника, наряду с иными изложенными в кассационной жалобе доводами были предметом рассмотрения судов и получил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«Подводремстрой»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