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обратилась в суд с заявлением о признании недействительной сделкой действий правопреемника должника – общества с ограниченной ответственностью «Агроком» по перечислению (выдаче) 23.03.2015 Окуневу Игорю Александровичу денежных средств в размере 500 000 рублей (снятых по чеку № НВ 8712373, основание – выдача на закупку сельскохозяйственных продуктов); применении последствий недействительности сделки. Определением Арбитражного суда Брянской области от 17.08.2020, оставленным без изменения постановлениями Двадцатого арбитражного апелляционного суда от 20.01.2021 и Арбитражного суда Центрального округа от 03.06.2020, заявление оставлено без удовлетворения.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Брянской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статьями 10, 166, 168 Гражданского кодекса Российской Федерации, статьёй 61.2 Федерального закона от 26.10.2002 № 127-ФЗ «О несостоятельности (банкротстве)» и исходили из недоказанности намерений сторон причинить вред имущественным правам кредиторов и осведомлённости получателя денежных средств о такой цели, а у оспариваемой сделки – пороков, выходящих за пределы специальных оснований.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Приводимые заявителем в кассационной жалобе доводы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«Акварель» Зиновик Елене Константиновне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