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арбитражный управляющий Негриенко В.А. обратился в суд с заявлением о взыскании в его пользу вознаграждения с заявителей по делу о банкротстве в размере 490 392 рубля, в том числе: с Мостовой Валентины Ивановны – 147 359 рублей 25 копеек, с Егорченковой Людмилы Лаврентьевны – 113 232 рубля 12 копеек, с Печкиной Марины Анатольевны – 84 000 рублей 18 копеек, с Епанешникова Аркадия Валентиновича – 147 000 рублей. Определением Арбитражного суда Пермского края от 08.02.2021, оставленным без изменения постановлениями Семнадцатого арбитражного апелляционного суда от 01.04.2021 и Арбитражного суда Уральского округа от 04.06.2021, производство по заявлению прекращено.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Арбитражный суд Пермского края.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Прекращая производство по заявлению, суды руководствовались пунктом 2 части 1 статьи 150 Арбитражного процессуального кодекса Российской Федерации и исходили из того, что содержащиеся в нём требования тождественны ранее рассмотренным требованиям заявителя по предмету и основаниям, ранее реализовавшего своё право на взыскание вознаграждения и судебных издержек.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Негриенко Вячеславу Александровичу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