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21.08.2020, оставленным без изменения постановлениями Девятого арбитражного апелляционного суда от 10.12.2020 и Арбитражного суда Московского округа от 15.04.2021, в удовлетворении искового заявления общества отказано, встречный иск министерства удовлетворено. 2 В кассационной жалобе, поданной в Верховный Суд Российской Федерации, общество, ссылаясь на существенное нарушение норм права, несоответствие выводов судов фактическим обстоятельствам дела,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министерством и обществом 29.03.2018 заключено соглашение № 020-11-2018-023 о предоставлении министерством обществу субсидии из федерального бюджета в целях возмещения затрат, связанных с выпуском и поддержкой гарантийных обязательств в отношении высокопроизводительной самоходной и прицепной техники по перечню № 1 к соглашению, понесенных с 01.01.2017. На основании соглашения обществу в 2018-2019 годах предоставлена субсидия в размере 182 658 000 рублей. Министерством на основании пункта 19 Правил предоставления субсидий из федерального бюджета российским производителям на компенсацию части затрат, связанных с выпуском и поддержкой гарантийных обязательств в отношении высокопроизводительной самоходной и прицепной техники, утвержденных постановлением Правительства Российской Федерации от 10.02.2018 № 146 (далее - Правила) и пункта 4.1.5 соглашения проведена выездная проверка общества по вопросу соблюдения целей, порядка и условий предоставления субсидии. По результатам проверки выявлено, что общество нарушило условия предоставления субсидии, поскольку установленные технологические операции, в том числе сборка, сварка, покраска несущей рамы и стрелы; изготовление, сварка, покраска металлоконструкций кабины при производстве погрузчиков фронтальных DM-34 «Волжанин» не осуществлялись на территории Российской Федерации; при производстве данных погрузчиков общество использовало рамы и кабины, произведенные в КНР. Установив указанные обстоятельства, министерство направило обществу требование от 11.10.2019 № 71484/07 о возврате полученной из федерального бюджета субсидии в течение десяти дней с момента его получения, а также повторное требование от 05.12.2019 № 87356/07 с аналогичным содержанием. 3 Не согласившись с требованиями министерства, общество обратилось в арбитражный суд. Министерство тоже обратилось в арбитражный суд с встречным иском. Исследовав и оценив представленные в материалы дела доказательства, суды, руководствуясь положениями Гражданского кодекса Российской Федерации, пришли к выводу о несоответствии общества на момент заключения соглашения требованиям, установленным Правилами, и, как следствие, отсутствии права на заключение такого соглашения, что является основанием для расторжения соглашения и возврата субсидии. Суды исходили из того, что последующее изменение обществом схемы производства фронтальных погрузчиков не устраняет то обстоятельство, что на момент заключения соглашения о предоставлении субсидии общество не соответствовало требованию подпункта «е» пункта 4 Правил. Суды отметили, что законодательством не предоставлено право министерства на перерасчет, проверку и корректировку суммы субсидии в зависимости от объема предоставленных ему документов и техники, в отношении которой были представлены недостоверные сведения или иным образом нарушены условия предоставления субсидии Доводы общества,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«Дорожных машин»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