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07.09.2020, оставленным без изменения постановлением Семнадцатого арбитражного апелляционного суда от 28.12.2020 и постановлением Арбитражного суда Уральского округа от 16.04.2021, заявленные требования удовлетворены.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субъектом Российской Федерации Свердловской областью, муниципальным образованием городской округ Ревда и ООО «ЕТК» заключено концессионное соглашение от 13.06.2018 № 4 в отношении создания и реконструкции объектов централизованного теплоснабжения городского округа Ревда и осуществления производства и передачи тепловой энергии, поставки теплоносителя и горячего водоснабжения с использованием открытой и закрытой систем теплоснабжения, с использованием объекта соглашения. В целях согласования изменения существенных условий концессионного соглашения администрация 13.02.2020 обратилась в управление с заявлением, по результатам рассмотрения которого антимонопольным органом принято решение об отказе в согласовании изменений условий концессионного соглашения, поскольку внесенные изменения в схему теплоснабжения не затрагивают объект концессионного соглашения. Считая указанное решение антимонопольного органа незаконным в части отказа в согласовании изменений в концессионное соглашение, администрация обратилась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21.07.2005 № 115-ФЗ «О концессионных соглашениях», Правилами предоставления антимонопольным органом согласия на изменение условий концессионного соглашения, установленными постановлением Правительства Российской Федерации от 24.04.2014 № 368 (далее - Правила № 368), пришли к выводу о том, что решение управления не соответствует положениям действующего законодательства и нарушает права и законные интересы заявителя, с чем согласился суд округа. Судебные инстанции исходили из того, что вывод из эксплуатации источника тепловой энергии - котельной ООО «Ревдинский кирпичный завод» является обстоятельством, фактически исключающим для ООО «ЕТК» возможность осуществлять производство и передачу тепловой энергии, поставку теплоносителя и горячее водоснабжение в поселок Кирзавод городского округа Ревда с использованием объекта соглашения, что свидетельствует о наличии обстоятельств, указанных в подпункте «г» пункта 2 Правил № 368, и следовательно, о необходимости внесения изменений в концессионное соглашение в части порядка осуществления концессионной деятельности.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ЗАО ОБЩЕСТВО С ОГРАНИЧЕННОЙ ОТВЕТСТВЕННОСТЬЮ ЕДИНАЯ ТЕПЛОСНАБЖАЮЩАЯ КОМПАНИЯ (подробнее) ОСП АДМИНИСТРАЦИЯ ГОРОДСКОГО ОКРУГА РЕВДА (подробнее) Ответчики: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