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23.12.2020, оставленным без изменения постановлением Девятого арбитражного апелляционного суда от 13.04.2021 и постановлением Арбитражного суда Московского округа от 28.05.2021, производство по заявлению Семченкова С.А. прекращено на основании пункта 2 части 1 статьи 150 Арбитражного процессуального кодекса Российской Федерации. В кассационной жалобе Семченков С.А. просит об отмене судебных актов, ссылаясь на различие в спорах обстоятельств, составляющих основание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ранее в деле о банкротстве должника рассмотрено заявление финансового управляющего о признании недействительным договора поручительства от 26.08.2013 № 13-04-0180 и в его удовлетворении отказано. Довод заявителя о различии предыдущего и рассматриваемого споров по обстоятельствам для признания сделки недействительной правомерно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Семченкову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