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14.09.2020, оставленным без изменения постановлением Седьмого арбитражного апелляционного суда от 27.12.2020 и постановлением Арбитражного суда Западно-Сибирского округа от 14.04.2021, в удовлетворении заявления кредитора о включении в конкурсную массу должника земельного участка площадью 418 кв. м с кадастровым номером 54:32:010213:24 и жилого дома с кадастровым номером 54:32:010213:284, расположенных по адресу: Новосибирская область, город Бердск, СНТ "Радостное", участок № 19, отказано. В кассационной жалобе Селиверстов Д.Б. просит о пересмотре судебных актов, ссылаясь на непопадание дома под исполнительский иммунитет.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жилой дом является единственным пригодным для постоянного проживания должника и членов его семьи помещением, суды не включили его в конкурсную массу в соответствии со статьей 446 Гражданского процессуального кодекса Российской Федерации, статьями 213.25 Федерального закона от 26.10.2002 № 127-ФЗ «О несостоятельности (банкротстве)». Доводы кассационной жалобы не подтверждают нарушения норм права и не составляют оснований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Селиверстову Дмитрию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