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поименованного им имущества (жилого дома, земельного участка, долей в праве на земельный участок, сооружений и зданий) из конкурсной массы. Определением Арбитражного суда города Москвы от 26.03.2019, оставленным без изменения постановлением Девятого арбитражного апелляционного суда от 27.05.2019, заявление удовлетворено. Постановлением Арбитражного суда Московского округа от 01.08.2019 данные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28.12.2020, оставленным без изменения постановлениями Девятого арбитражного апелляционного суда от 18.03.2021 и Арбитражного суда Московского округа от 27.05.2021,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статьёй 446 Гражданского процессуального кодекса Российской Федерации, статьями 213.5, 213.25 Федерального закона от 26.10.2002 № 127-ФЗ «О несостоятельности (банкротстве)», не установили оснований для исключения поименованного заявителем имущества из конкурсной массы в связи с установленными обстоятельствами злоупотребления должником правом с целью недопущения обращения взыскания на принадлежащие ему активы, в том числе спорный жилой дом, не являющийся для него единственным пригодным для проживания жилым помещением.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Гришаеву Василию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