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заключенных между должником и обществом «Уралэнергострой» договора поставки от 06.11.2014 № 271-р/14 (далее – первый договор поставки), договора поставки от 01.04.2015 № 43-р/15 (далее – второй договор поставки), платежей, совершенных должником в пользу общества «Уралэнергострой» в общей сумме 35 469 431 рубль, договора уступки прав требования (цессии) от 09.01.2017 № 01-д/17 (далее – договор цессии). В качестве применения последствий недействительности сделок конкурсный управляющий просил возложить на общество «Уралэнергострой» обязанность по возврату в конкурсную массу денежных средств в размере 25 368 358 рублей, а на публичное акционерное общество «Межрегиональная распределительная сетевая компания Волги» (далее – сетевая компания) – денежных средств в размере 26 725 669 рублей. Определением Арбитражного суда Оренбургской области от 29.09.2020, оставленным без изменения постановлениями Восемнадцатого арбитражного апелляционного суда от 20.01.2021 и Арбитражного суда Уральского округа от 29.04.2021, заявление удовлетворено в части признания недействительными 2 сделками первого договора поставки, платежей на сумму 35 469 431 рубль и договора цессии; применения последствий недействительности сделок в виде взыскания с общества «Уралэнергострой» 42 733 150 рублей. В удовлетворении остальной части заявления отказано. В кассационных жалобах, поданных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и частично удовлетворяя заявленные требования, суды, руководствуясь пунктом 2 статьи 61.2 Федерального закона от 26.10.2002 № 127-ФЗ «О несостоятельности (банкротстве)», постановлением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установив, что в отличие от второго договора поставки (полностью оплаченного должником и исполненного сторонами), первый договор поставки, положенные в его основу платежи и договор уступки совершены заинтересованными лицами с целью причинения вреда имущественным правам кредиторов, пришли к правильным выводам о недействительности данных сделок, правомерно применив последствия их недействительности и не усмотрев в действиях сетевой компании признаков злоупотребления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«Аврора», конкурсному управляющему обществом с ограниченной ответственностью «Энергоремстройсервис» Берестовой (Белоусовой) Алёны Викторовны и конкурсному управляющему обществом с ограниченной ответственностью «Уралэнергострой» Шпенькову Александру Александровичу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