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включении в реестр требований кредиторов должника (далее – реестр) требования в размере 447 016 059 рублей 91 копейки, в том числе 427 884 354 рублей основного долга, 19 131 705 рублей 91 копейки процентов за пользование заёмными денежными средствами по состоянию на 15.04.2019. Определением Арбитражного суда Новгородской области от 19.06.2020 заявление удовлетворено. Постановлением Четырнадцатого арбитражного апелляционного суда от 25.01.2021, оставленным без изменения постановлением Арбитражного суда Северо-Западного округа от 20.04.2021, данное определение отменено; в удовлетворении заявленных требований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руководствовались статьями 382 – 384 Гражданского кодекса Российской Федерации, статьями 19, 71, 100 Федерального закона от 26.10.2002 № 127-ФЗ «О несостоятельности (банкротстве)», пунктами 35, 51 постановления Пленума Высшего Арбитражного Суда Российской Федерации от 12.07.2012 № 42 «О некоторых вопросах разрешения споров, связанных с поручительством» и исходили из того, что поручительство должника обеспечивало исполнение корпоративной заёмной сделки, в связи с чем признали основанное на нём и вытекающее из факта участия требование банка не подлежащим включению в реестр.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«Сити Инвест 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