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выплаты ФИО1 дивидендов в размере 13 971 938 рублей 22 копеек; применении последствий недействительности сделки. Определением Арбитражного суда Московской области от 20.07.2020 в удовлетворении заявления отказано. Постановлением Десятого арбитражного апелляционного суда от 20.01.2021, оставленным без изменения постановлением Арбитражного суда Московского округа от 17.05.2021,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статьями 2, 19, пунктом 2 статьи 61.2 Федерального закона от 26.10.2002 № 127-ФЗ «О несостоятельности (банкротстве)», пунктами 5, 25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установили, что спорные перечисления дивидендов в пользу заявителя, осведомлённого о финансовом положении должника, имели место при наличии у последнего признаков неплатёжеспособности и неисполненных обязательств (в том числе перед работниками), в связи с чем признали недействительной оспариваемую сделку по основанию причинения вреда имущественным правам кредиторов.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"САМОРЕГУЛИРУЕМАЯ ОРГАНИЗАЦИЯ АРБИТРАЖНЫХ УПРАВЛЯЮЩИХ ЦЕНТРАЛЬНОГО ФЕДЕРАЛЬНОГО ОКРУГА" (подробнее) МУП городского округа Подольск "Служба единого заказчика" (подробнее) ООО "Элегант" (подробнее) Ответчики: ООО "КЛИМОВСКАЯ УПРАВЛЯЮЩАЯ КОМПАНИЯ" (подробнее) Иные лица: МИФНС №5 ПО МО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