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10.08.2021 обратился в Верховный Суд Российской Федерации с кассационной жалобой на принятые по делу № А32-8025/2020 судебные акты, одновременно заявив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приходит к выводу о наличии оснований для его удовлетворения, поскольку первоначально кассационная жалоба подана заявителем в установленный процессуальным законодательством срок, устранены недостатки, послужившие основанием для возвращения кассационной жалобы на основании пункта 1 части 1 статьи 291.5 АПК РФ.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Супрунова Олега Олеговича о восстановлении пропущенного процессуального срока подачи кассационной жалобы удовлетворить. Восстановить индивидуальному предпринимателю Супрунову Олегу Олеговичу срок подачи кассационной жалобы на решение Арбитражного суда Краснодарского края от 07.12.2020 по делу № А32-8025/2020 и постановление Суда по интеллектуальным правам от 03.06.2021 по тому же делу. Судья Верховного Суда Российской Федерации Е.Е. Борисова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