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09.11.2020, оставленным без изменения постановлением Семнадцатого арбитражного апелляционного суда от 20.01.2021 и постановлением Арбитражного суда Уральского округа от 15.04.2021, процедура реализации имущества должника завершена, должник не освобожден от дальнейшего исполнения требований кредиторов. В кассационной жалобе Афонин А.В. просит о пересмотре судебных актов как основанных на представленных финансовым управляющим ненадлежащих сведениях.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Исследованное поведение должника в ситуациях образования и погашения задолженности оценено судом как влекущее в силу статьи 213.28 Федерального закона от 26.10.2002 № 127-ФЗ «О несостоятельности (банкротстве)» неприменение правила об освобождении от исполнения обязательств перед кредиторами. Доводы рассматриваемой кассационной жалобы получили мотивированную оценку и не влекут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Афонину Антону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