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03.11.2020, оставленным без изменения постановлением Шестого арбитражного апелляционного суда от 18.01.2021 и постановлением Арбитражного суда Дальневосточного округа от 21.04.2021, иск удовлетворен. В кассационной жалобе общество «ВостокРитейлГрупп» просит отменить судебные акты как не соответствующие обстоятельствам дела и основанные на ненадлежащих доказательствах.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Руководствуясь статьями 785, 790 Гражданского кодекса Российской Федерации, суды удовлетворили иск по установленным обстоятельствам осуществления истцом перевозок и неоплаты их ответчиком. Вопросы доказывания и оценки доказательств, заложенные в доводах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«ВостокРитейлГрупп»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