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10.11.2020, оставленным без изменения постановлением Четырнадцатого арбитражного апелляционного суда от 05.02.2021 и постановлением Арбитражного суда Северо-Западного округа от 28.04.2021, процедура реализации имущества должника завершена, должник не освобожден от дальнейшего исполнения требований кредиторов. В кассационной жалобе Елсаков Л.А. просит о пересмотре судебных актов, ссылаясь на игнорирование объективности неплатежеспособности.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исследованных обстоятельствах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кредиторами. Доводы должника рассмотрены судами, мотивированно отклонены и не создают оснований для кассационного пересмотра судебных актов.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Елсакову Леониду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