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города Москвы определением от 03.08.2020 отказал в удовлетворении заявления и утвердил Положение о дальнейшей реализации имущества, являющегося предметом залога, посредством публичного предложения в редакции кредитора – АО «Банк Финам» от 04.03.2020. Девятый арбитражный апелляционный суд постановлением от 10.12.2020 отменил определение от 03.08.2020, разрешил разногласия по Положению от 04.03.2020 и отказал в его утверждении. Арбитражный суд Московского округа постановлением от 13.04.2021 постановление Девятого арбитражного апелляционного суда от 10.12.2020 оставил без изменения. В кассационной жалобе финансовый управляющий просит об отмене судебных актов апелляционного и окружного судов, ссылаясь на игнорирование следующего из закона права залогового кредитора на изменение условий продажи имущества при признании торгов несостоявшимися.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начальная продажная цена имущества установлена в судебном порядке, поэтому ее изменение недопустимо и направлено на оставление залоговым кредитором предмета залога за собой на наиболее выгодных условиях, поэтому отказал в изменении ранее утвержденного Положению от 16.10.2017 в соответствии со статьями 110, 138, 139, 213.25, 213.26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Гвоздевой А.Н.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