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05.10.2020 процедура реализации имущества должника завершена, в применении в отношении должника правила об освобождении от исполнения обязательств отказано. Постановлением Тринадцатого арбитражного апелляционного суда от 26.01.2021, оставленным без изменения постановлением Арбитражного суда Северо-Западного округа от 13.04.2021, определение от 05.10.2020 отменено в части, должник освобожден от дальнейшего исполнения требований кредиторов в том числе не заявленных при введении процедуры реализации имущества гражданина. В кассационной жалобе общество «ТрансРесурс» просит о пересмотре судебных актов, ссылаясь на игнорирование недобросовестности должника в виде принятия заведомо неисполнимых обязательств.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исследовал поведение должника при заключении сделки, в связи с неисполнением которой возникла неплатежеспособность, и оценил его как не препятствующее применению в силу статьи 213.28 Федерального закона от 26.10.2002 № 127-ФЗ «О несостоятельности (банкротстве)» правила об освобождении от исполнения обязательств. Требуемая переоценка вывода суда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