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28.09.2020, оставленным без изменения постановлением Девятого арбитражного апелляционного суда от 21.12.2020 и постановлением Арбитражного суда Московского округа от 14.04.2021, в удовлетворении иска отказано вследствие пропуска срока исковой давности. В кассационной жалобе общество «РН-ГРП» просит об отмене судебных актов, ссылаясь на нарушение в применении норм права об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Ответчик заявил о применении исковой давности и, установив пропуск ее срока в отношении требования в полном объеме, суды отказали в иске полностью в соответствии со статьей 199 Гражданского кодекса Российской Федерации. Заявленное требование основано на договоре на оказание транспортных услуг от 01.02.2017 № 3222-К/05-17, поэтому к спорному требованию правомерно применен срок исковой давности, предусмотренный пунктом 3 статьи 797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«РН-ГРП»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