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03.12.2020, оставленным без изменения постановлением Семнадцатого арбитражного апелляционного суда от 24.02.2021, в удовлетворении иска отказано вследствие пропуска срока исковой давности, о применении которой заявил ответчик. Арбитражный суд Уральского округа постановлением от 27.05.2021 решение от 03.12.2020 и постановление Семнадцатого арбитражного апелляционного суда от 24.02.2021 оставил без изменения. В кассационной жалобе общество «Кокс» просит об отмене судебных актов, ссылаясь на неправильное определение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вопросе исчисления срока исковой давности суды руководствовались условиями договора поставки от 01.11.2016 № К/006-17, определенностью срока простоя вагонов на станциях погрузки-выгрузки, статьями 196, 199, пунктом 1 статьи 200, статьей 202 Гражданского кодекса Российской Федерации. Доводы жалобы не подтверждают нарушения норм права об исковой давности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