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02.11.2020, оставленным без изменения постановлением Четвертого арбитражного апелляционного суда от 30.12.2020, заявленные требования удовлетворены. Постановлением Арбитражного суда Восточно-Сибирского округа от 12.04.2021 указанные судебные акты оставлены без изменения. Налоговый орган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Суды, оценив представленные доказательства, руководствуясь положениями статей 146 , 154 , 346.26 Налогового кодекса Российской Федерации, удовлетворили заявленные требования, признав, что налоговым органом не доказана законность оспариваемого решения.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связанным с реализацией предпринимателем, уплачивающим единый налог на вмененный доход, основного средства, используемого ранее при осуществлении деятельности, облагаемой ЕНВД. Доводы жалобы с учетом основания принятого налоговым органом решения не соответствуют правовой позиции, изложенной в письмах Минфина России от 28.03.2017 № 03-11-11/17965, от 29.05.2019 № 03-07-14/39090.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Басова Наталия Викторовна (подробнее) Ответчики: Межрайонная инспекция Федеральной налоговой службы №1 по Забайкальскому краю (подробнее) МИ ФНС №1 по Забайкальскому краю (подробнее) Иные лица: АС Забайкальского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